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349AF" w14:textId="60B19866" w:rsidR="00FD4CE7" w:rsidRPr="00D84E8F" w:rsidRDefault="00B77DC4" w:rsidP="00D84E8F">
      <w:pPr>
        <w:jc w:val="center"/>
        <w:rPr>
          <w:b/>
        </w:rPr>
      </w:pPr>
      <w:bookmarkStart w:id="0" w:name="_GoBack"/>
      <w:bookmarkEnd w:id="0"/>
      <w:r>
        <w:rPr>
          <w:b/>
        </w:rPr>
        <w:t>[</w:t>
      </w:r>
      <w:r w:rsidR="00D84E8F">
        <w:rPr>
          <w:b/>
        </w:rPr>
        <w:t>SAMPLE Parity Complaint Letter</w:t>
      </w:r>
      <w:r w:rsidR="00206527">
        <w:rPr>
          <w:b/>
        </w:rPr>
        <w:t xml:space="preserve"> </w:t>
      </w:r>
      <w:r w:rsidR="00050DD9">
        <w:rPr>
          <w:b/>
        </w:rPr>
        <w:t>DENIAL OF AUTHORIZATION</w:t>
      </w:r>
      <w:r>
        <w:rPr>
          <w:b/>
        </w:rPr>
        <w:t>]</w:t>
      </w:r>
    </w:p>
    <w:p w14:paraId="22AE7EB7" w14:textId="77777777" w:rsidR="00B36B35" w:rsidRDefault="00485BCD" w:rsidP="00B36B35">
      <w:pPr>
        <w:spacing w:after="0" w:line="240" w:lineRule="auto"/>
      </w:pPr>
      <w:r>
        <w:t>[date]</w:t>
      </w:r>
    </w:p>
    <w:p w14:paraId="002E999B" w14:textId="77777777" w:rsidR="00B36B35" w:rsidRDefault="00B36B35" w:rsidP="00B36B35">
      <w:pPr>
        <w:spacing w:after="0" w:line="240" w:lineRule="auto"/>
      </w:pPr>
    </w:p>
    <w:p w14:paraId="16C79020" w14:textId="77777777" w:rsidR="00FB0309" w:rsidRDefault="00485BCD" w:rsidP="00B36B35">
      <w:pPr>
        <w:spacing w:after="0" w:line="240" w:lineRule="auto"/>
      </w:pPr>
      <w:r>
        <w:t>[address]</w:t>
      </w:r>
    </w:p>
    <w:p w14:paraId="00F0D3AD" w14:textId="77777777" w:rsidR="00FB0309" w:rsidRDefault="00FB0309" w:rsidP="00B36B35">
      <w:pPr>
        <w:spacing w:after="0" w:line="240" w:lineRule="auto"/>
      </w:pPr>
    </w:p>
    <w:p w14:paraId="660E4601" w14:textId="28331457" w:rsidR="00206527" w:rsidRDefault="00485BCD" w:rsidP="00B36B35">
      <w:pPr>
        <w:spacing w:after="0" w:line="240" w:lineRule="auto"/>
      </w:pPr>
      <w:r>
        <w:t>[member number if applicable]</w:t>
      </w:r>
    </w:p>
    <w:p w14:paraId="2B21C4D3" w14:textId="77777777" w:rsidR="00485BCD" w:rsidRDefault="00485BCD" w:rsidP="00B36B35">
      <w:pPr>
        <w:spacing w:after="0" w:line="240" w:lineRule="auto"/>
      </w:pPr>
    </w:p>
    <w:p w14:paraId="49888F7E" w14:textId="15705F6D" w:rsidR="00FB0309" w:rsidRDefault="00206527" w:rsidP="00B36B35">
      <w:pPr>
        <w:spacing w:after="0" w:line="240" w:lineRule="auto"/>
      </w:pPr>
      <w:r>
        <w:t xml:space="preserve">Ms. Mary </w:t>
      </w:r>
      <w:proofErr w:type="spellStart"/>
      <w:r>
        <w:t>Kwei</w:t>
      </w:r>
      <w:proofErr w:type="spellEnd"/>
      <w:r>
        <w:t>, Chief, Complaints, Appeals and Grievances Division</w:t>
      </w:r>
    </w:p>
    <w:p w14:paraId="7ADCEBB0" w14:textId="0BF1F999" w:rsidR="00206527" w:rsidRDefault="00206527" w:rsidP="00B36B35">
      <w:pPr>
        <w:spacing w:after="0" w:line="240" w:lineRule="auto"/>
      </w:pPr>
      <w:r>
        <w:t>Maryland Insurance Administration</w:t>
      </w:r>
    </w:p>
    <w:p w14:paraId="5D010858" w14:textId="61E18BA5" w:rsidR="00206527" w:rsidRDefault="00206527" w:rsidP="00B36B35">
      <w:pPr>
        <w:spacing w:after="0" w:line="240" w:lineRule="auto"/>
      </w:pPr>
      <w:r>
        <w:t>2700 St. Paul St., Suite 2700</w:t>
      </w:r>
    </w:p>
    <w:p w14:paraId="0019B8E9" w14:textId="6AAD7887" w:rsidR="00206527" w:rsidRDefault="00206527" w:rsidP="00B36B35">
      <w:pPr>
        <w:spacing w:after="0" w:line="240" w:lineRule="auto"/>
      </w:pPr>
      <w:r>
        <w:t>Baltimore, MD 21202</w:t>
      </w:r>
    </w:p>
    <w:p w14:paraId="16F5C17F" w14:textId="77777777" w:rsidR="00B36B35" w:rsidRDefault="00B36B35" w:rsidP="00B36B35">
      <w:pPr>
        <w:spacing w:after="0" w:line="240" w:lineRule="auto"/>
      </w:pPr>
    </w:p>
    <w:p w14:paraId="045B3186" w14:textId="77777777" w:rsidR="00206527" w:rsidRDefault="00206527" w:rsidP="00DD7F0E">
      <w:r>
        <w:t xml:space="preserve">Ms. </w:t>
      </w:r>
      <w:proofErr w:type="spellStart"/>
      <w:r>
        <w:t>Kwei</w:t>
      </w:r>
      <w:proofErr w:type="spellEnd"/>
      <w:r>
        <w:t>,</w:t>
      </w:r>
    </w:p>
    <w:p w14:paraId="6D0CEE1D" w14:textId="2FBBB5AE" w:rsidR="00020F2F" w:rsidRPr="00DD7F0E" w:rsidRDefault="0065414B" w:rsidP="00DD7F0E">
      <w:pPr>
        <w:rPr>
          <w:highlight w:val="yellow"/>
        </w:rPr>
      </w:pPr>
      <w:r>
        <w:t xml:space="preserve">I am writing regarding </w:t>
      </w:r>
      <w:r w:rsidR="00485BCD" w:rsidRPr="00050DD9">
        <w:rPr>
          <w:b/>
        </w:rPr>
        <w:t xml:space="preserve">[insert insurer/plan name] </w:t>
      </w:r>
      <w:r w:rsidR="00050DD9" w:rsidRPr="00050DD9">
        <w:t xml:space="preserve">utilization review requirement </w:t>
      </w:r>
      <w:r w:rsidR="00FD4CE7" w:rsidRPr="00050DD9">
        <w:t xml:space="preserve">for </w:t>
      </w:r>
      <w:r w:rsidR="007963DA">
        <w:t>all</w:t>
      </w:r>
      <w:r w:rsidR="00105D75" w:rsidRPr="00050DD9">
        <w:t xml:space="preserve"> </w:t>
      </w:r>
      <w:r w:rsidR="00FD4CE7" w:rsidRPr="00050DD9">
        <w:t>behavioral health services (BHS)</w:t>
      </w:r>
      <w:r w:rsidRPr="00050DD9">
        <w:t xml:space="preserve">. </w:t>
      </w:r>
      <w:r w:rsidR="00FD4CE7" w:rsidRPr="00050DD9">
        <w:t xml:space="preserve">This letter </w:t>
      </w:r>
      <w:r w:rsidR="007F776C" w:rsidRPr="00050DD9">
        <w:t>s</w:t>
      </w:r>
      <w:r w:rsidR="00FD4CE7" w:rsidRPr="00050DD9">
        <w:t xml:space="preserve">erves to raise concerns </w:t>
      </w:r>
      <w:r w:rsidR="00206527" w:rsidRPr="00050DD9">
        <w:t>of whether the</w:t>
      </w:r>
      <w:r w:rsidR="00050DD9" w:rsidRPr="00050DD9">
        <w:t xml:space="preserve"> utilization review</w:t>
      </w:r>
      <w:r w:rsidR="00206527" w:rsidRPr="00050DD9">
        <w:t xml:space="preserve"> </w:t>
      </w:r>
      <w:r w:rsidR="00050DD9" w:rsidRPr="00050DD9">
        <w:t xml:space="preserve">process employed by </w:t>
      </w:r>
      <w:r w:rsidR="00050DD9" w:rsidRPr="007963DA">
        <w:rPr>
          <w:b/>
        </w:rPr>
        <w:t xml:space="preserve">[insert insurer] </w:t>
      </w:r>
      <w:r w:rsidR="00050DD9" w:rsidRPr="00050DD9">
        <w:t xml:space="preserve">which resulted in the denial of authorization for </w:t>
      </w:r>
      <w:r w:rsidR="00050DD9" w:rsidRPr="007A106A">
        <w:rPr>
          <w:b/>
        </w:rPr>
        <w:t>[Insert service]</w:t>
      </w:r>
      <w:r w:rsidR="00050DD9" w:rsidRPr="00050DD9">
        <w:t xml:space="preserve"> and application of</w:t>
      </w:r>
      <w:r w:rsidR="00105D75" w:rsidRPr="00050DD9">
        <w:t xml:space="preserve"> the medical necessity criteria for </w:t>
      </w:r>
      <w:r w:rsidR="00105D75" w:rsidRPr="007963DA">
        <w:rPr>
          <w:b/>
        </w:rPr>
        <w:t>[insert service]</w:t>
      </w:r>
      <w:r w:rsidR="00206527">
        <w:rPr>
          <w:b/>
        </w:rPr>
        <w:t xml:space="preserve"> </w:t>
      </w:r>
      <w:r w:rsidR="00FD4CE7">
        <w:t xml:space="preserve">is in compliance with the </w:t>
      </w:r>
      <w:r w:rsidR="00EA4322">
        <w:t>Final Regulations</w:t>
      </w:r>
      <w:r w:rsidR="0047089F">
        <w:t xml:space="preserve"> </w:t>
      </w:r>
      <w:r w:rsidR="00FD4CE7">
        <w:t xml:space="preserve">established pursuant to the Paul Wellstone and Pete Domenici Mental Health Parity and Addiction Equity Act (MHPAEA) of 2008. </w:t>
      </w:r>
    </w:p>
    <w:p w14:paraId="2417CB98" w14:textId="77777777" w:rsidR="00CD7B89" w:rsidRPr="00DD7F0E" w:rsidRDefault="00CD7B89" w:rsidP="00FD4CE7">
      <w:pPr>
        <w:rPr>
          <w:b/>
        </w:rPr>
      </w:pPr>
      <w:r w:rsidRPr="00DD7F0E">
        <w:rPr>
          <w:b/>
        </w:rPr>
        <w:t>[Insert paragraph describing the issue]</w:t>
      </w:r>
    </w:p>
    <w:p w14:paraId="3FEA3FD7" w14:textId="71BF0C7A" w:rsidR="00FD4CE7" w:rsidRDefault="00A26716" w:rsidP="00FD4CE7">
      <w:r>
        <w:t xml:space="preserve">While MHPAEA does not prohibit the use of </w:t>
      </w:r>
      <w:r w:rsidR="00105D75" w:rsidRPr="007963DA">
        <w:t>utilization review</w:t>
      </w:r>
      <w:r w:rsidR="00A2592B">
        <w:t>,</w:t>
      </w:r>
      <w:r w:rsidR="00105D75">
        <w:rPr>
          <w:b/>
        </w:rPr>
        <w:t xml:space="preserve"> </w:t>
      </w:r>
      <w:r w:rsidR="00B36B35">
        <w:t>it does require that</w:t>
      </w:r>
      <w:r>
        <w:t xml:space="preserve"> </w:t>
      </w:r>
      <w:r w:rsidR="007963DA">
        <w:t>the application of the utilization review process and criteria</w:t>
      </w:r>
      <w:r w:rsidR="00FB0309">
        <w:t xml:space="preserve"> be comparable</w:t>
      </w:r>
      <w:r w:rsidR="00CD7B89">
        <w:t xml:space="preserve"> to</w:t>
      </w:r>
      <w:r w:rsidR="00FB0309">
        <w:t xml:space="preserve"> and no more stringent</w:t>
      </w:r>
      <w:r w:rsidR="00CD7B89">
        <w:t xml:space="preserve"> than what is applied to medical/surgical care</w:t>
      </w:r>
      <w:r w:rsidR="00FB0309">
        <w:t xml:space="preserve">. </w:t>
      </w:r>
      <w:r w:rsidR="007F776C">
        <w:t>We are</w:t>
      </w:r>
      <w:r w:rsidR="00EA4322">
        <w:t xml:space="preserve"> </w:t>
      </w:r>
      <w:r w:rsidR="00FD4CE7">
        <w:t xml:space="preserve">unaware of </w:t>
      </w:r>
      <w:r w:rsidR="00020F2F">
        <w:t xml:space="preserve">comparable </w:t>
      </w:r>
      <w:r w:rsidR="00FD4CE7">
        <w:t xml:space="preserve">requirements for </w:t>
      </w:r>
      <w:r w:rsidR="00CD7B89">
        <w:t>this</w:t>
      </w:r>
      <w:r w:rsidR="00020F2F">
        <w:t xml:space="preserve"> level of services</w:t>
      </w:r>
      <w:r w:rsidR="00FD4CE7">
        <w:t xml:space="preserve"> for medical/surgical conditions. </w:t>
      </w:r>
    </w:p>
    <w:p w14:paraId="189FE8BC" w14:textId="0CCF70F6" w:rsidR="00FD4CE7" w:rsidRDefault="00A46BC8" w:rsidP="00FD4CE7">
      <w:r>
        <w:t>Th</w:t>
      </w:r>
      <w:r w:rsidR="00E353BB">
        <w:t xml:space="preserve">e </w:t>
      </w:r>
      <w:r w:rsidR="00105D75">
        <w:t>utilization review</w:t>
      </w:r>
      <w:r w:rsidR="00B77DC4">
        <w:t xml:space="preserve"> requir</w:t>
      </w:r>
      <w:r w:rsidR="007F776C">
        <w:t>e</w:t>
      </w:r>
      <w:r w:rsidR="00B77DC4">
        <w:t>ment</w:t>
      </w:r>
      <w:r w:rsidR="00E353BB" w:rsidRPr="00DD7F0E">
        <w:rPr>
          <w:b/>
        </w:rPr>
        <w:t xml:space="preserve"> </w:t>
      </w:r>
      <w:r>
        <w:t xml:space="preserve">is a </w:t>
      </w:r>
      <w:r w:rsidR="0047089F">
        <w:t>nonquantitative treatment limitation (</w:t>
      </w:r>
      <w:r>
        <w:t>NQTL</w:t>
      </w:r>
      <w:r w:rsidR="0047089F">
        <w:t>)</w:t>
      </w:r>
      <w:r w:rsidR="007F776C">
        <w:t xml:space="preserve"> as defined in the final regulations.</w:t>
      </w:r>
      <w:r>
        <w:t xml:space="preserve"> </w:t>
      </w:r>
      <w:r w:rsidR="00B77DC4" w:rsidRPr="00B77DC4">
        <w:t xml:space="preserve">If </w:t>
      </w:r>
      <w:r w:rsidR="00B77DC4" w:rsidRPr="00105D75">
        <w:t xml:space="preserve">the </w:t>
      </w:r>
      <w:r w:rsidR="007963DA">
        <w:t>utilization review process</w:t>
      </w:r>
      <w:r w:rsidR="00FB0309" w:rsidRPr="00105D75">
        <w:t xml:space="preserve"> for </w:t>
      </w:r>
      <w:r w:rsidR="00B77DC4" w:rsidRPr="00105D75">
        <w:rPr>
          <w:b/>
        </w:rPr>
        <w:t xml:space="preserve">[insert </w:t>
      </w:r>
      <w:r w:rsidR="00E353BB" w:rsidRPr="00105D75">
        <w:rPr>
          <w:b/>
        </w:rPr>
        <w:t>services</w:t>
      </w:r>
      <w:r w:rsidR="00B77DC4" w:rsidRPr="00105D75">
        <w:rPr>
          <w:b/>
        </w:rPr>
        <w:t>]</w:t>
      </w:r>
      <w:r w:rsidR="00E353BB" w:rsidRPr="00105D75">
        <w:t xml:space="preserve"> </w:t>
      </w:r>
      <w:r w:rsidR="00FD4CE7" w:rsidRPr="00105D75">
        <w:t xml:space="preserve">are not applied to </w:t>
      </w:r>
      <w:r w:rsidR="00E353BB" w:rsidRPr="00105D75">
        <w:t>similar levels of medical/surgical care</w:t>
      </w:r>
      <w:r w:rsidRPr="00105D75">
        <w:t xml:space="preserve"> in the same manner</w:t>
      </w:r>
      <w:r w:rsidR="00B77DC4" w:rsidRPr="00105D75">
        <w:t>,</w:t>
      </w:r>
      <w:r w:rsidR="00B77DC4" w:rsidRPr="00105D75">
        <w:rPr>
          <w:b/>
        </w:rPr>
        <w:t xml:space="preserve"> </w:t>
      </w:r>
      <w:r w:rsidR="00FD4CE7">
        <w:t xml:space="preserve">then the above-described medical management protocol </w:t>
      </w:r>
      <w:r>
        <w:t xml:space="preserve">for BHS </w:t>
      </w:r>
      <w:r w:rsidR="00FD4CE7">
        <w:t xml:space="preserve">is a </w:t>
      </w:r>
      <w:r>
        <w:t xml:space="preserve">more stringent and </w:t>
      </w:r>
      <w:proofErr w:type="spellStart"/>
      <w:r>
        <w:t>non comparable</w:t>
      </w:r>
      <w:proofErr w:type="spellEnd"/>
      <w:r>
        <w:t xml:space="preserve"> application of a</w:t>
      </w:r>
      <w:r w:rsidR="0047089F">
        <w:t>n</w:t>
      </w:r>
      <w:r>
        <w:t xml:space="preserve"> </w:t>
      </w:r>
      <w:r w:rsidR="00FD4CE7">
        <w:t>(NQTL) as defined by the Parity regulations (45 CFR 146.136c(4))</w:t>
      </w:r>
      <w:r w:rsidR="000A48CA">
        <w:t xml:space="preserve"> </w:t>
      </w:r>
      <w:r>
        <w:t>and is therefore noncompliant  with MHPAEA.</w:t>
      </w:r>
      <w:r w:rsidR="00FD4CE7">
        <w:t xml:space="preserve"> The rule governing NQTLs is as follows:</w:t>
      </w:r>
    </w:p>
    <w:p w14:paraId="49B02EAA" w14:textId="77777777" w:rsidR="00FD4CE7" w:rsidRDefault="00FD4CE7" w:rsidP="00FD4CE7">
      <w:pPr>
        <w:ind w:left="720"/>
      </w:pPr>
      <w:r>
        <w:tab/>
        <w:t xml:space="preserve">(4) </w:t>
      </w:r>
      <w:r>
        <w:rPr>
          <w:i/>
        </w:rPr>
        <w:t xml:space="preserve">Nonquantitative treatment limitations – </w:t>
      </w:r>
      <w:r>
        <w:t>(</w:t>
      </w:r>
      <w:proofErr w:type="spellStart"/>
      <w:r>
        <w:t>i</w:t>
      </w:r>
      <w:proofErr w:type="spellEnd"/>
      <w:r>
        <w:t xml:space="preserve">) </w:t>
      </w:r>
      <w:r>
        <w:rPr>
          <w:i/>
        </w:rPr>
        <w:t>General rule.</w:t>
      </w:r>
      <w:r>
        <w:t xml:space="preserve"> A group health plan (or health insurance coverage) may not impose a nonquantitative treatment limitation with respect to mental health or substance use disorder benefits in any classification unless, under the terms of the plan (or health insurance coverage) as written and in operation, any processes, strategies, evidentiary standards, or other factors used in applying the nonquantitative treatment limitation to mental health or substance use disorder benefits in the classification are </w:t>
      </w:r>
      <w:r w:rsidRPr="00DB64E9">
        <w:rPr>
          <w:b/>
          <w:u w:val="single"/>
        </w:rPr>
        <w:t>comparable to, and are applied no more stringently than, the processes, strategies, evidentiary standards,</w:t>
      </w:r>
      <w:r>
        <w:rPr>
          <w:b/>
          <w:u w:val="single"/>
        </w:rPr>
        <w:t xml:space="preserve"> </w:t>
      </w:r>
      <w:r>
        <w:t xml:space="preserve">or other factors used in applying the limitation with respect to medical surgical/benefits in the classification, except to the extent that recognized clinically appropriate standards of care may permit a difference. </w:t>
      </w:r>
    </w:p>
    <w:p w14:paraId="06FB1CB5" w14:textId="763FB747" w:rsidR="00FD4CE7" w:rsidRPr="006E5C28" w:rsidRDefault="00B77DC4" w:rsidP="00FD4CE7">
      <w:pPr>
        <w:rPr>
          <w:b/>
        </w:rPr>
      </w:pPr>
      <w:r w:rsidRPr="00B77DC4">
        <w:rPr>
          <w:b/>
        </w:rPr>
        <w:lastRenderedPageBreak/>
        <w:t xml:space="preserve">[Insert </w:t>
      </w:r>
      <w:r w:rsidR="006E5C28" w:rsidRPr="00B77DC4">
        <w:rPr>
          <w:b/>
        </w:rPr>
        <w:t>insurer</w:t>
      </w:r>
      <w:r w:rsidRPr="00B77DC4">
        <w:rPr>
          <w:b/>
        </w:rPr>
        <w:t>]</w:t>
      </w:r>
      <w:r w:rsidR="00FD4CE7" w:rsidRPr="00B77DC4">
        <w:rPr>
          <w:b/>
        </w:rPr>
        <w:t xml:space="preserve"> </w:t>
      </w:r>
      <w:r w:rsidR="0047089F" w:rsidRPr="00B77DC4">
        <w:t>ha</w:t>
      </w:r>
      <w:r w:rsidR="00FD4CE7" w:rsidRPr="00B77DC4">
        <w:t xml:space="preserve">s a </w:t>
      </w:r>
      <w:r w:rsidR="007963DA">
        <w:t>utilization review process</w:t>
      </w:r>
      <w:r w:rsidR="00FD4CE7" w:rsidRPr="00B77DC4">
        <w:t xml:space="preserve"> for</w:t>
      </w:r>
      <w:r w:rsidR="00FD4CE7" w:rsidRPr="00B77DC4">
        <w:rPr>
          <w:b/>
        </w:rPr>
        <w:t xml:space="preserve"> </w:t>
      </w:r>
      <w:r>
        <w:rPr>
          <w:b/>
        </w:rPr>
        <w:t>[</w:t>
      </w:r>
      <w:r w:rsidRPr="00B77DC4">
        <w:rPr>
          <w:b/>
        </w:rPr>
        <w:t xml:space="preserve">insert </w:t>
      </w:r>
      <w:r w:rsidR="00E353BB" w:rsidRPr="00B77DC4">
        <w:rPr>
          <w:b/>
        </w:rPr>
        <w:t>services</w:t>
      </w:r>
      <w:r w:rsidRPr="00B77DC4">
        <w:rPr>
          <w:b/>
        </w:rPr>
        <w:t>]</w:t>
      </w:r>
      <w:r w:rsidR="00E353BB" w:rsidRPr="00B77DC4">
        <w:rPr>
          <w:b/>
        </w:rPr>
        <w:t>.</w:t>
      </w:r>
      <w:r w:rsidR="00E353BB" w:rsidRPr="006E5C28">
        <w:rPr>
          <w:b/>
          <w:i/>
        </w:rPr>
        <w:t xml:space="preserve"> </w:t>
      </w:r>
      <w:r w:rsidR="00E353BB" w:rsidRPr="00B77DC4">
        <w:t>We are un</w:t>
      </w:r>
      <w:r w:rsidR="006E5C28" w:rsidRPr="00B77DC4">
        <w:t>able to determine whether insurer</w:t>
      </w:r>
      <w:r w:rsidR="000A48CA">
        <w:t xml:space="preserve"> employs a similar</w:t>
      </w:r>
      <w:r w:rsidR="00105D75">
        <w:t xml:space="preserve"> </w:t>
      </w:r>
      <w:r w:rsidR="007963DA">
        <w:t xml:space="preserve">utilization review process </w:t>
      </w:r>
      <w:r w:rsidR="00E353BB" w:rsidRPr="00B77DC4">
        <w:t xml:space="preserve">for similar levels of </w:t>
      </w:r>
      <w:r w:rsidR="00FB0309" w:rsidRPr="00B77DC4">
        <w:t xml:space="preserve">medical/surgical </w:t>
      </w:r>
      <w:r w:rsidR="00105D75">
        <w:t xml:space="preserve">care; if so, how this requirement is applied; and what if any processes, strategies, factors, or evidentiary standards were used to develop and apply this requirement </w:t>
      </w:r>
      <w:r w:rsidR="00E353BB" w:rsidRPr="00B77DC4">
        <w:t xml:space="preserve">as we do not have access to the medical necessity criteria for medical/surgical care. </w:t>
      </w:r>
      <w:r w:rsidR="006E5C28" w:rsidRPr="00B77DC4">
        <w:t>The</w:t>
      </w:r>
      <w:r w:rsidR="00B36B35" w:rsidRPr="00B77DC4">
        <w:t xml:space="preserve"> use </w:t>
      </w:r>
      <w:r w:rsidR="00105D75">
        <w:t xml:space="preserve">and application </w:t>
      </w:r>
      <w:r w:rsidR="00B36B35" w:rsidRPr="00B77DC4">
        <w:t xml:space="preserve">of </w:t>
      </w:r>
      <w:r w:rsidR="000A48CA">
        <w:t xml:space="preserve">this </w:t>
      </w:r>
      <w:r w:rsidR="007963DA">
        <w:t>process</w:t>
      </w:r>
      <w:r w:rsidR="000A48CA">
        <w:t xml:space="preserve"> </w:t>
      </w:r>
      <w:r w:rsidR="00B36B35" w:rsidRPr="00B77DC4">
        <w:t>may be in violation of</w:t>
      </w:r>
      <w:r w:rsidR="00FD4CE7" w:rsidRPr="00B77DC4">
        <w:t xml:space="preserve"> the regulation’s “comparable and no more stringently” standard and the “no separate treatment” limitation.</w:t>
      </w:r>
    </w:p>
    <w:p w14:paraId="6A890346" w14:textId="07C4BFB5" w:rsidR="00FD4CE7" w:rsidRDefault="00FD4CE7" w:rsidP="00FD4CE7">
      <w:r>
        <w:t xml:space="preserve">The regulations state clearly that any “processes, strategies, evidentiary standards, or other factors” used in applying a NQTL to BHS benefits in a classification must be “comparable to” and be applied “no more stringently” than the processes, evidentiary standards, or other factors used in applying the limitation with respect to medical/surgical benefits. Given the </w:t>
      </w:r>
      <w:r w:rsidR="00FB0309">
        <w:t>aforementioned concerns,</w:t>
      </w:r>
      <w:r>
        <w:t xml:space="preserve"> we have a number of questions and requests regarding wheth</w:t>
      </w:r>
      <w:r w:rsidR="000A48CA">
        <w:t>er this policy</w:t>
      </w:r>
      <w:r>
        <w:t xml:space="preserve"> comports with the parity requirements.</w:t>
      </w:r>
      <w:r w:rsidR="000D516E">
        <w:t xml:space="preserve"> </w:t>
      </w:r>
      <w:r w:rsidR="007F776C">
        <w:t xml:space="preserve">We request that MIA require </w:t>
      </w:r>
      <w:r w:rsidR="007F776C" w:rsidRPr="000A48CA">
        <w:rPr>
          <w:b/>
        </w:rPr>
        <w:t>[insert carrier]</w:t>
      </w:r>
      <w:r w:rsidR="007F776C">
        <w:t xml:space="preserve"> to provide documentation and required analysis to respond to the following questions:</w:t>
      </w:r>
    </w:p>
    <w:p w14:paraId="254F8520" w14:textId="3BEDEB0B" w:rsidR="00B36B35" w:rsidRPr="000D516E" w:rsidRDefault="00B36B35" w:rsidP="00B36B35">
      <w:pPr>
        <w:pStyle w:val="ListParagraph"/>
        <w:numPr>
          <w:ilvl w:val="0"/>
          <w:numId w:val="2"/>
        </w:numPr>
        <w:rPr>
          <w:b/>
          <w:i/>
        </w:rPr>
      </w:pPr>
      <w:r w:rsidRPr="000D516E">
        <w:rPr>
          <w:b/>
          <w:i/>
        </w:rPr>
        <w:t xml:space="preserve">Which covered health plan services for medical/surgical conditions have similar </w:t>
      </w:r>
      <w:r w:rsidR="007963DA">
        <w:rPr>
          <w:b/>
          <w:i/>
        </w:rPr>
        <w:t xml:space="preserve">utilization review </w:t>
      </w:r>
      <w:r w:rsidRPr="000D516E">
        <w:rPr>
          <w:b/>
          <w:i/>
        </w:rPr>
        <w:t>requirements?</w:t>
      </w:r>
    </w:p>
    <w:p w14:paraId="4F639017" w14:textId="695AF6CE" w:rsidR="007963DA" w:rsidRDefault="001D37E8" w:rsidP="001D37E8">
      <w:pPr>
        <w:pStyle w:val="ListParagraph"/>
        <w:numPr>
          <w:ilvl w:val="0"/>
          <w:numId w:val="2"/>
        </w:numPr>
        <w:rPr>
          <w:b/>
          <w:i/>
        </w:rPr>
      </w:pPr>
      <w:r>
        <w:rPr>
          <w:b/>
          <w:i/>
        </w:rPr>
        <w:t>What are the process</w:t>
      </w:r>
      <w:r w:rsidR="00A2592B">
        <w:rPr>
          <w:b/>
          <w:i/>
        </w:rPr>
        <w:t>es</w:t>
      </w:r>
      <w:r>
        <w:rPr>
          <w:b/>
          <w:i/>
        </w:rPr>
        <w:t>, strategies</w:t>
      </w:r>
      <w:r w:rsidR="00A2592B">
        <w:rPr>
          <w:b/>
          <w:i/>
        </w:rPr>
        <w:t>,</w:t>
      </w:r>
      <w:r>
        <w:rPr>
          <w:b/>
          <w:i/>
        </w:rPr>
        <w:t xml:space="preserve"> and evidentiary </w:t>
      </w:r>
      <w:r w:rsidR="007F776C">
        <w:rPr>
          <w:b/>
          <w:i/>
        </w:rPr>
        <w:t xml:space="preserve">factors </w:t>
      </w:r>
      <w:r>
        <w:rPr>
          <w:b/>
          <w:i/>
        </w:rPr>
        <w:t>use</w:t>
      </w:r>
      <w:r w:rsidR="007F776C">
        <w:rPr>
          <w:b/>
          <w:i/>
        </w:rPr>
        <w:t>d</w:t>
      </w:r>
      <w:r>
        <w:rPr>
          <w:b/>
          <w:i/>
        </w:rPr>
        <w:t xml:space="preserve"> to determine when and </w:t>
      </w:r>
      <w:r w:rsidR="00105D75">
        <w:rPr>
          <w:b/>
          <w:i/>
        </w:rPr>
        <w:t xml:space="preserve">how to apply </w:t>
      </w:r>
      <w:r w:rsidR="007963DA">
        <w:rPr>
          <w:b/>
          <w:i/>
        </w:rPr>
        <w:t>utilization review</w:t>
      </w:r>
      <w:r>
        <w:rPr>
          <w:b/>
          <w:i/>
        </w:rPr>
        <w:t xml:space="preserve"> to behavioral health</w:t>
      </w:r>
      <w:r w:rsidR="007F776C">
        <w:rPr>
          <w:b/>
          <w:i/>
        </w:rPr>
        <w:t xml:space="preserve"> services</w:t>
      </w:r>
      <w:r>
        <w:rPr>
          <w:b/>
          <w:i/>
        </w:rPr>
        <w:t>?</w:t>
      </w:r>
      <w:r w:rsidR="007963DA">
        <w:rPr>
          <w:b/>
          <w:i/>
        </w:rPr>
        <w:t xml:space="preserve"> </w:t>
      </w:r>
    </w:p>
    <w:p w14:paraId="45FA3AB4" w14:textId="6BDE6F5F" w:rsidR="00FD4CE7" w:rsidRDefault="007963DA" w:rsidP="001D37E8">
      <w:pPr>
        <w:pStyle w:val="ListParagraph"/>
        <w:numPr>
          <w:ilvl w:val="0"/>
          <w:numId w:val="2"/>
        </w:numPr>
        <w:rPr>
          <w:b/>
          <w:i/>
        </w:rPr>
      </w:pPr>
      <w:r>
        <w:rPr>
          <w:b/>
          <w:i/>
        </w:rPr>
        <w:t>What analysis has been done to determine that the application of this utilization review process is comparable and no more stringent than the utilization review process for similar medical/surgical services?</w:t>
      </w:r>
    </w:p>
    <w:p w14:paraId="4C2BE942" w14:textId="61BB1CE4" w:rsidR="007F776C" w:rsidRDefault="001D37E8" w:rsidP="007F776C">
      <w:pPr>
        <w:pStyle w:val="ListParagraph"/>
        <w:numPr>
          <w:ilvl w:val="0"/>
          <w:numId w:val="2"/>
        </w:numPr>
        <w:rPr>
          <w:b/>
          <w:i/>
        </w:rPr>
      </w:pPr>
      <w:r>
        <w:rPr>
          <w:b/>
          <w:i/>
        </w:rPr>
        <w:t>What are the processes, strategies</w:t>
      </w:r>
      <w:r w:rsidR="00A2592B">
        <w:rPr>
          <w:b/>
          <w:i/>
        </w:rPr>
        <w:t>,</w:t>
      </w:r>
      <w:r>
        <w:rPr>
          <w:b/>
          <w:i/>
        </w:rPr>
        <w:t xml:space="preserve"> and evidentiary factors use</w:t>
      </w:r>
      <w:r w:rsidR="007F776C">
        <w:rPr>
          <w:b/>
          <w:i/>
        </w:rPr>
        <w:t>d</w:t>
      </w:r>
      <w:r>
        <w:rPr>
          <w:b/>
          <w:i/>
        </w:rPr>
        <w:t xml:space="preserve"> to determine when and </w:t>
      </w:r>
      <w:r w:rsidR="00105D75">
        <w:rPr>
          <w:b/>
          <w:i/>
        </w:rPr>
        <w:t>how</w:t>
      </w:r>
      <w:r w:rsidR="007963DA">
        <w:rPr>
          <w:b/>
          <w:i/>
        </w:rPr>
        <w:t xml:space="preserve"> to apply utilization review</w:t>
      </w:r>
      <w:r>
        <w:rPr>
          <w:b/>
          <w:i/>
        </w:rPr>
        <w:t xml:space="preserve"> f</w:t>
      </w:r>
      <w:r w:rsidR="007F776C">
        <w:rPr>
          <w:b/>
          <w:i/>
        </w:rPr>
        <w:t>or similar medical/surgical services</w:t>
      </w:r>
      <w:r>
        <w:rPr>
          <w:b/>
          <w:i/>
        </w:rPr>
        <w:t>?</w:t>
      </w:r>
    </w:p>
    <w:p w14:paraId="7F49F253" w14:textId="2C254C12" w:rsidR="007963DA" w:rsidRDefault="007963DA" w:rsidP="007F776C">
      <w:pPr>
        <w:pStyle w:val="ListParagraph"/>
        <w:numPr>
          <w:ilvl w:val="0"/>
          <w:numId w:val="2"/>
        </w:numPr>
        <w:rPr>
          <w:b/>
          <w:i/>
        </w:rPr>
      </w:pPr>
      <w:r>
        <w:rPr>
          <w:b/>
          <w:i/>
        </w:rPr>
        <w:t>What are the processes, strategies, and evidentiary factors used to develop the medical necessity criteria for behavioral health services?</w:t>
      </w:r>
    </w:p>
    <w:p w14:paraId="2DE41B58" w14:textId="399B9082" w:rsidR="007963DA" w:rsidRDefault="007963DA" w:rsidP="007F776C">
      <w:pPr>
        <w:pStyle w:val="ListParagraph"/>
        <w:numPr>
          <w:ilvl w:val="0"/>
          <w:numId w:val="2"/>
        </w:numPr>
        <w:rPr>
          <w:b/>
          <w:i/>
        </w:rPr>
      </w:pPr>
      <w:r>
        <w:rPr>
          <w:b/>
          <w:i/>
        </w:rPr>
        <w:t>What are the processes, strategies, and evidentiary factors used to develop the medical necessity criteria for similar medical/surgical services?</w:t>
      </w:r>
    </w:p>
    <w:p w14:paraId="20039003" w14:textId="3A774090" w:rsidR="007963DA" w:rsidRPr="007F776C" w:rsidRDefault="007963DA" w:rsidP="007F776C">
      <w:pPr>
        <w:pStyle w:val="ListParagraph"/>
        <w:numPr>
          <w:ilvl w:val="0"/>
          <w:numId w:val="2"/>
        </w:numPr>
        <w:rPr>
          <w:b/>
          <w:i/>
        </w:rPr>
      </w:pPr>
      <w:r>
        <w:rPr>
          <w:b/>
          <w:i/>
        </w:rPr>
        <w:t>What analysis has been done to de</w:t>
      </w:r>
      <w:r w:rsidR="00A2592B">
        <w:rPr>
          <w:b/>
          <w:i/>
        </w:rPr>
        <w:t>termine that the process used for</w:t>
      </w:r>
      <w:r>
        <w:rPr>
          <w:b/>
          <w:i/>
        </w:rPr>
        <w:t xml:space="preserve"> development and application of the medical necessity criteria fo</w:t>
      </w:r>
      <w:r w:rsidR="00A2592B">
        <w:rPr>
          <w:b/>
          <w:i/>
        </w:rPr>
        <w:t>r behavioral health services is</w:t>
      </w:r>
      <w:r>
        <w:rPr>
          <w:b/>
          <w:i/>
        </w:rPr>
        <w:t xml:space="preserve"> comparable and no more stringent than the process for development and application of medical necessity criteria for comparable medical/surgical services?</w:t>
      </w:r>
    </w:p>
    <w:p w14:paraId="4A576C80" w14:textId="09B1A538" w:rsidR="00FD4CE7" w:rsidRPr="00093BBC" w:rsidRDefault="00B77DC4" w:rsidP="00FD4CE7">
      <w:r w:rsidRPr="00093BBC">
        <w:t>T</w:t>
      </w:r>
      <w:r w:rsidR="00FD4CE7" w:rsidRPr="00093BBC">
        <w:t>he Parity Statute clearly outlines the legal obligation regarding the medical necessity criteria disclosure requirements:</w:t>
      </w:r>
    </w:p>
    <w:p w14:paraId="16EA385A" w14:textId="73CD7846" w:rsidR="00FD4CE7" w:rsidRPr="00093BBC" w:rsidRDefault="00FD4CE7" w:rsidP="00FD4CE7">
      <w:r w:rsidRPr="00093BBC">
        <w:tab/>
        <w:t xml:space="preserve">42 CFR 146.136(d)(1) Availability of plan </w:t>
      </w:r>
      <w:r w:rsidR="00093BBC" w:rsidRPr="00093BBC">
        <w:t>information -</w:t>
      </w:r>
      <w:r w:rsidRPr="00093BBC">
        <w:t xml:space="preserve"> (1) Criteria for medical necessity determinations.  The criteria for medical necessity determinations made under a group health plan with respect to mental health or substance use disorder benefits (or health insurance coverage offered in connection with the plan with respect to such benefits) must be made available by the plan administrator (or the health insurance issuer offering such coverage) to any current or potential participant, beneficiary, or contracting provider upon request.</w:t>
      </w:r>
    </w:p>
    <w:p w14:paraId="3280A3F8" w14:textId="27301AFD" w:rsidR="00FD4CE7" w:rsidRPr="00093BBC" w:rsidRDefault="009746A4" w:rsidP="00FD4CE7">
      <w:r w:rsidRPr="00093BBC">
        <w:lastRenderedPageBreak/>
        <w:t>Also ERISA regulations 29 CFR 2520.104b-1 outlines the legal obligation regarding the disclosure of plan documents. The Department of Labor issued guidance in December 2010 stating plan documents include the medical necessity criteria for both medical/surgical benefits and mental health/substance use disorder benefits.</w:t>
      </w:r>
      <w:r w:rsidR="000A48CA">
        <w:t xml:space="preserve"> </w:t>
      </w:r>
    </w:p>
    <w:p w14:paraId="257BFB31" w14:textId="2CE613D7" w:rsidR="000A48CA" w:rsidRDefault="000A48CA">
      <w:r>
        <w:t xml:space="preserve">Finally, the Department of Labor has recently released a list of “red flags” or warning signs of nonquantitative treatment limitations that warrant further investigation to determine whether their application to a particular benefit is in compliance with the federal parity law. You will note that </w:t>
      </w:r>
      <w:r w:rsidR="007A106A">
        <w:t xml:space="preserve">authorization </w:t>
      </w:r>
      <w:r w:rsidR="00105D75">
        <w:t xml:space="preserve">requirements </w:t>
      </w:r>
      <w:r>
        <w:t xml:space="preserve">are on the list, which can be obtained at this link. </w:t>
      </w:r>
      <w:hyperlink r:id="rId5" w:history="1">
        <w:r w:rsidRPr="009B44BD">
          <w:rPr>
            <w:rStyle w:val="Hyperlink"/>
          </w:rPr>
          <w:t>https://www.dol.gov/sites/default/files/ebsa/laws-and-regulations/laws/mental-health-parity/warning-signs-plan-or-policy-nqtls-that-require-additional-analysis-to-determine-mhpaea-compliance.pdf</w:t>
        </w:r>
      </w:hyperlink>
      <w:r>
        <w:t xml:space="preserve"> </w:t>
      </w:r>
    </w:p>
    <w:p w14:paraId="262768DC" w14:textId="20603B67" w:rsidR="00C4460D" w:rsidRPr="000D516E" w:rsidRDefault="00B77DC4">
      <w:r>
        <w:t>Thank you for your time in investigating this matter.</w:t>
      </w:r>
    </w:p>
    <w:sectPr w:rsidR="00C4460D" w:rsidRPr="000D516E" w:rsidSect="0088700C">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03A82"/>
    <w:multiLevelType w:val="hybridMultilevel"/>
    <w:tmpl w:val="417E0C1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A9A1BDC"/>
    <w:multiLevelType w:val="hybridMultilevel"/>
    <w:tmpl w:val="37365F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E0F21DC"/>
    <w:multiLevelType w:val="hybridMultilevel"/>
    <w:tmpl w:val="AB6CC3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E7"/>
    <w:rsid w:val="00020F2F"/>
    <w:rsid w:val="00045FE3"/>
    <w:rsid w:val="00050DD9"/>
    <w:rsid w:val="000870BB"/>
    <w:rsid w:val="00093BBC"/>
    <w:rsid w:val="000A48CA"/>
    <w:rsid w:val="000D516E"/>
    <w:rsid w:val="00105D75"/>
    <w:rsid w:val="00151025"/>
    <w:rsid w:val="00191301"/>
    <w:rsid w:val="001D37E8"/>
    <w:rsid w:val="001F16E8"/>
    <w:rsid w:val="00206527"/>
    <w:rsid w:val="00266F82"/>
    <w:rsid w:val="002E660B"/>
    <w:rsid w:val="0031694C"/>
    <w:rsid w:val="003748D5"/>
    <w:rsid w:val="003D7A1B"/>
    <w:rsid w:val="004408CB"/>
    <w:rsid w:val="0047089F"/>
    <w:rsid w:val="00485BCD"/>
    <w:rsid w:val="004B29A6"/>
    <w:rsid w:val="00594AAC"/>
    <w:rsid w:val="005C6D55"/>
    <w:rsid w:val="00613CAC"/>
    <w:rsid w:val="006257CF"/>
    <w:rsid w:val="0065414B"/>
    <w:rsid w:val="0065610F"/>
    <w:rsid w:val="0066500D"/>
    <w:rsid w:val="006E5C28"/>
    <w:rsid w:val="00737FD2"/>
    <w:rsid w:val="007878A7"/>
    <w:rsid w:val="007963DA"/>
    <w:rsid w:val="007A106A"/>
    <w:rsid w:val="007F776C"/>
    <w:rsid w:val="0088700C"/>
    <w:rsid w:val="009359F0"/>
    <w:rsid w:val="009746A4"/>
    <w:rsid w:val="009A0925"/>
    <w:rsid w:val="009C3827"/>
    <w:rsid w:val="00A2592B"/>
    <w:rsid w:val="00A26716"/>
    <w:rsid w:val="00A46BC8"/>
    <w:rsid w:val="00AB1987"/>
    <w:rsid w:val="00AD3DF1"/>
    <w:rsid w:val="00B1380B"/>
    <w:rsid w:val="00B36B35"/>
    <w:rsid w:val="00B53C96"/>
    <w:rsid w:val="00B7135D"/>
    <w:rsid w:val="00B77DC4"/>
    <w:rsid w:val="00BB6BA8"/>
    <w:rsid w:val="00C4460D"/>
    <w:rsid w:val="00CD7B89"/>
    <w:rsid w:val="00D639ED"/>
    <w:rsid w:val="00D64ABC"/>
    <w:rsid w:val="00D84E8F"/>
    <w:rsid w:val="00DD7F0E"/>
    <w:rsid w:val="00E04652"/>
    <w:rsid w:val="00E07683"/>
    <w:rsid w:val="00E22E13"/>
    <w:rsid w:val="00E353BB"/>
    <w:rsid w:val="00E817B6"/>
    <w:rsid w:val="00EA4322"/>
    <w:rsid w:val="00EE5324"/>
    <w:rsid w:val="00F22A1C"/>
    <w:rsid w:val="00F255C8"/>
    <w:rsid w:val="00FB0309"/>
    <w:rsid w:val="00FB2AAD"/>
    <w:rsid w:val="00FC7D37"/>
    <w:rsid w:val="00FD4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84689"/>
  <w15:docId w15:val="{809114F1-A04B-484F-B286-CD581BD9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CE7"/>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D4CE7"/>
    <w:pPr>
      <w:ind w:left="720"/>
      <w:contextualSpacing/>
    </w:pPr>
  </w:style>
  <w:style w:type="character" w:styleId="CommentReference">
    <w:name w:val="annotation reference"/>
    <w:basedOn w:val="DefaultParagraphFont"/>
    <w:rsid w:val="00C4460D"/>
    <w:rPr>
      <w:sz w:val="16"/>
      <w:szCs w:val="16"/>
    </w:rPr>
  </w:style>
  <w:style w:type="paragraph" w:styleId="CommentText">
    <w:name w:val="annotation text"/>
    <w:basedOn w:val="Normal"/>
    <w:link w:val="CommentTextChar"/>
    <w:rsid w:val="00C4460D"/>
    <w:pPr>
      <w:spacing w:line="240" w:lineRule="auto"/>
    </w:pPr>
    <w:rPr>
      <w:sz w:val="20"/>
      <w:szCs w:val="20"/>
    </w:rPr>
  </w:style>
  <w:style w:type="character" w:customStyle="1" w:styleId="CommentTextChar">
    <w:name w:val="Comment Text Char"/>
    <w:basedOn w:val="DefaultParagraphFont"/>
    <w:link w:val="CommentText"/>
    <w:rsid w:val="00C4460D"/>
    <w:rPr>
      <w:rFonts w:ascii="Calibri" w:hAnsi="Calibri"/>
    </w:rPr>
  </w:style>
  <w:style w:type="paragraph" w:styleId="CommentSubject">
    <w:name w:val="annotation subject"/>
    <w:basedOn w:val="CommentText"/>
    <w:next w:val="CommentText"/>
    <w:link w:val="CommentSubjectChar"/>
    <w:rsid w:val="00C4460D"/>
    <w:rPr>
      <w:b/>
      <w:bCs/>
    </w:rPr>
  </w:style>
  <w:style w:type="character" w:customStyle="1" w:styleId="CommentSubjectChar">
    <w:name w:val="Comment Subject Char"/>
    <w:basedOn w:val="CommentTextChar"/>
    <w:link w:val="CommentSubject"/>
    <w:rsid w:val="00C4460D"/>
    <w:rPr>
      <w:rFonts w:ascii="Calibri" w:hAnsi="Calibri"/>
      <w:b/>
      <w:bCs/>
    </w:rPr>
  </w:style>
  <w:style w:type="paragraph" w:styleId="BalloonText">
    <w:name w:val="Balloon Text"/>
    <w:basedOn w:val="Normal"/>
    <w:link w:val="BalloonTextChar"/>
    <w:rsid w:val="00C44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4460D"/>
    <w:rPr>
      <w:rFonts w:ascii="Tahoma" w:hAnsi="Tahoma" w:cs="Tahoma"/>
      <w:sz w:val="16"/>
      <w:szCs w:val="16"/>
    </w:rPr>
  </w:style>
  <w:style w:type="paragraph" w:customStyle="1" w:styleId="Default">
    <w:name w:val="Default"/>
    <w:uiPriority w:val="99"/>
    <w:rsid w:val="00C4460D"/>
    <w:pPr>
      <w:autoSpaceDE w:val="0"/>
      <w:autoSpaceDN w:val="0"/>
      <w:adjustRightInd w:val="0"/>
    </w:pPr>
    <w:rPr>
      <w:rFonts w:ascii="Palatino Linotype" w:hAnsi="Palatino Linotype" w:cs="Palatino Linotype"/>
      <w:color w:val="000000"/>
      <w:sz w:val="24"/>
      <w:szCs w:val="24"/>
    </w:rPr>
  </w:style>
  <w:style w:type="paragraph" w:styleId="Title">
    <w:name w:val="Title"/>
    <w:basedOn w:val="Normal"/>
    <w:link w:val="TitleChar"/>
    <w:qFormat/>
    <w:rsid w:val="0088700C"/>
    <w:pPr>
      <w:spacing w:after="0" w:line="240" w:lineRule="auto"/>
      <w:jc w:val="center"/>
    </w:pPr>
    <w:rPr>
      <w:rFonts w:ascii="Abadi MT Condensed Light" w:hAnsi="Abadi MT Condensed Light"/>
      <w:b/>
      <w:bCs/>
      <w:sz w:val="32"/>
      <w:szCs w:val="24"/>
    </w:rPr>
  </w:style>
  <w:style w:type="character" w:customStyle="1" w:styleId="TitleChar">
    <w:name w:val="Title Char"/>
    <w:basedOn w:val="DefaultParagraphFont"/>
    <w:link w:val="Title"/>
    <w:rsid w:val="0088700C"/>
    <w:rPr>
      <w:rFonts w:ascii="Abadi MT Condensed Light" w:hAnsi="Abadi MT Condensed Light"/>
      <w:b/>
      <w:bCs/>
      <w:sz w:val="32"/>
      <w:szCs w:val="24"/>
    </w:rPr>
  </w:style>
  <w:style w:type="character" w:styleId="Hyperlink">
    <w:name w:val="Hyperlink"/>
    <w:basedOn w:val="DefaultParagraphFont"/>
    <w:unhideWhenUsed/>
    <w:rsid w:val="000A48CA"/>
    <w:rPr>
      <w:color w:val="0000FF" w:themeColor="hyperlink"/>
      <w:u w:val="single"/>
    </w:rPr>
  </w:style>
  <w:style w:type="character" w:customStyle="1" w:styleId="Mention">
    <w:name w:val="Mention"/>
    <w:basedOn w:val="DefaultParagraphFont"/>
    <w:uiPriority w:val="99"/>
    <w:semiHidden/>
    <w:unhideWhenUsed/>
    <w:rsid w:val="000A48C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l.gov/sites/default/files/ebsa/laws-and-regulations/laws/mental-health-parity/warning-signs-plan-or-policy-nqtls-that-require-additional-analysis-to-determine-mhpaea-complianc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5971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DRAFT - June 2011</vt:lpstr>
    </vt:vector>
  </TitlesOfParts>
  <Company>Mental Health of Maryland</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June 2011</dc:title>
  <dc:creator>Linda Raines</dc:creator>
  <cp:lastModifiedBy>Noel Lloyd</cp:lastModifiedBy>
  <cp:revision>2</cp:revision>
  <cp:lastPrinted>2014-06-09T18:46:00Z</cp:lastPrinted>
  <dcterms:created xsi:type="dcterms:W3CDTF">2019-01-29T19:06:00Z</dcterms:created>
  <dcterms:modified xsi:type="dcterms:W3CDTF">2019-01-29T19:06:00Z</dcterms:modified>
</cp:coreProperties>
</file>